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ExtensibleDocument.xml" ContentType="application/vnd.openxmlformats-officedocument.wordprocessingml.commentsExtensible+xml"/>
  <Override PartName="/word/commentsDocument.xml" ContentType="application/vnd.openxmlformats-officedocument.wordprocessingml.comments+xml"/>
  <Override PartName="/word/footer1.xml" ContentType="application/vnd.openxmlformats-officedocument.wordprocessingml.footer+xml"/>
  <Override PartName="/word/commentsExtendedDocument.xml" ContentType="application/vnd.openxmlformats-officedocument.wordprocessingml.commentsExtended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IdsDocument.xml" ContentType="application/vnd.openxmlformats-officedocument.wordprocessingml.commentsId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0084" w:type="dxa"/>
        <w:tblLayout w:type="fixed"/>
        <w:tblLook w:val="0000" w:firstRow="0" w:lastRow="0" w:firstColumn="0" w:lastColumn="0" w:noHBand="0" w:noVBand="0"/>
      </w:tblPr>
      <w:tblGrid>
        <w:gridCol w:w="5148"/>
        <w:gridCol w:w="4936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936" w:type="dxa"/>
            <w:textDirection w:val="lrTb"/>
            <w:noWrap w:val="false"/>
          </w:tcPr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УТВЕРЖДАЮ: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b w:val="0"/>
                <w:bCs w:val="0"/>
                <w:highlight w:val="none"/>
              </w:rPr>
              <w:t xml:space="preserve">И.о. заместителя главного инженера по производственной деятельности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ПАО «Россети Урал»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__________________Д.Ю. Юрин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«____»_______________2026 г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28"/>
        <w:jc w:val="center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</w:p>
    <w:p>
      <w:pPr>
        <w:pStyle w:val="1051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8"/>
        <w:numPr>
          <w:ilvl w:val="0"/>
          <w:numId w:val="20"/>
        </w:numPr>
        <w:jc w:val="both"/>
        <w:tabs>
          <w:tab w:val="left" w:pos="426" w:leader="none"/>
          <w:tab w:val="left" w:pos="709" w:leader="none"/>
        </w:tabs>
        <w:rPr>
          <w:i/>
          <w:highlight w:val="none"/>
        </w:rPr>
      </w:pPr>
      <w:r>
        <w:rPr>
          <w:rFonts w:eastAsia="SimSun"/>
          <w:b/>
          <w:bCs/>
          <w:iCs/>
          <w:highlight w:val="none"/>
        </w:rPr>
        <w:t xml:space="preserve">Общие сведения о предмете </w:t>
      </w:r>
      <w:r>
        <w:rPr>
          <w:rFonts w:eastAsia="SimSun"/>
          <w:b/>
          <w:bCs/>
          <w:iCs/>
          <w:highlight w:val="none"/>
        </w:rPr>
        <w:t xml:space="preserve">сравнения цен</w:t>
      </w:r>
      <w:r>
        <w:rPr>
          <w:rFonts w:eastAsia="SimSun"/>
          <w:b/>
          <w:bCs/>
          <w:iCs/>
          <w:highlight w:val="none"/>
        </w:rPr>
        <w:t xml:space="preserve"> в электронной форме, </w:t>
      </w:r>
      <w:r>
        <w:rPr>
          <w:rFonts w:eastAsia="SimSun"/>
          <w:b/>
          <w:bCs/>
          <w:iCs/>
          <w:highlight w:val="none"/>
        </w:rPr>
        <w:t xml:space="preserve">участниками которого могут быть только субъекты МСП (далее - закупка):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28"/>
        <w:jc w:val="both"/>
        <w:keepLines w:val="0"/>
        <w:keepNext w:val="0"/>
        <w:spacing w:before="0"/>
        <w:tabs>
          <w:tab w:val="left" w:pos="284" w:leader="none"/>
        </w:tabs>
        <w:rPr>
          <w:rFonts w:eastAsia="SimSun"/>
          <w:highlight w:val="none"/>
        </w:rPr>
      </w:pP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48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i/>
          <w:highlight w:val="none"/>
        </w:rPr>
      </w:pPr>
      <w:r>
        <w:rPr>
          <w:highlight w:val="none"/>
        </w:rPr>
        <w:t xml:space="preserve">Право заключения договор</w:t>
      </w:r>
      <w:r>
        <w:rPr>
          <w:highlight w:val="none"/>
        </w:rPr>
        <w:t xml:space="preserve">а</w:t>
      </w:r>
      <w:r>
        <w:rPr>
          <w:highlight w:val="none"/>
        </w:rPr>
        <w:t xml:space="preserve"> на поставку </w:t>
      </w:r>
      <w:r>
        <w:rPr>
          <w:highlight w:val="none"/>
        </w:rPr>
        <w:t xml:space="preserve">бетона (СЭ)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для проведения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  <w:t xml:space="preserve">План закупок 2026 года.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Заказчик: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(филиал «</w:t>
      </w:r>
      <w:r>
        <w:rPr>
          <w:highlight w:val="none"/>
        </w:rPr>
        <w:t xml:space="preserve">Свердловэнерго</w:t>
      </w:r>
      <w:r>
        <w:rPr>
          <w:highlight w:val="none"/>
        </w:rPr>
        <w:t xml:space="preserve">»).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b w:val="0"/>
          <w:bCs w:val="0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поставки: </w:t>
      </w:r>
      <w:r>
        <w:rPr>
          <w:b w:val="0"/>
          <w:bCs w:val="0"/>
          <w:highlight w:val="none"/>
        </w:rPr>
        <w:t xml:space="preserve">Свердловская область</w:t>
      </w:r>
      <w:r>
        <w:rPr>
          <w:rFonts w:eastAsia="MS Mincho"/>
          <w:b w:val="0"/>
          <w:bCs w:val="0"/>
          <w:highlight w:val="none"/>
        </w:rPr>
      </w:r>
      <w:r>
        <w:rPr>
          <w:rFonts w:eastAsia="MS Mincho"/>
          <w:b w:val="0"/>
          <w:bCs w:val="0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48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Срок поставки</w:t>
      </w:r>
      <w:r>
        <w:rPr>
          <w:rStyle w:val="1072"/>
          <w:b/>
          <w:bCs/>
          <w:highlight w:val="none"/>
        </w:rPr>
        <w:footnoteReference w:id="2"/>
      </w:r>
      <w:r>
        <w:rPr>
          <w:b/>
          <w:bCs/>
          <w:highlight w:val="none"/>
        </w:rPr>
        <w:t xml:space="preserve">:</w:t>
      </w: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48"/>
        <w:ind w:left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highlight w:val="none"/>
        </w:rPr>
      </w:pPr>
      <w:r>
        <w:rPr>
          <w:highlight w:val="none"/>
        </w:rPr>
        <w:t xml:space="preserve">Потребность 4 квартала 2026: </w:t>
      </w:r>
      <w:r>
        <w:rPr>
          <w:highlight w:val="none"/>
        </w:rPr>
        <w:t xml:space="preserve">по согласованию конкретной даты поставки с грузополучателем, но не позднее 45 календарных дней с момента заключения договора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ind w:left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Участник закупки должен </w:t>
      </w:r>
      <w:r>
        <w:rPr>
          <w:highlight w:val="none"/>
        </w:rPr>
        <w:t xml:space="preserve">осуществить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поставку продукции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требуемых объемах и </w:t>
      </w:r>
      <w:r>
        <w:rPr>
          <w:highlight w:val="none"/>
        </w:rPr>
        <w:t xml:space="preserve">не позднее </w:t>
      </w:r>
      <w:r>
        <w:rPr>
          <w:highlight w:val="none"/>
        </w:rPr>
        <w:t xml:space="preserve">сроков</w:t>
      </w:r>
      <w:r>
        <w:rPr>
          <w:highlight w:val="none"/>
        </w:rPr>
        <w:t xml:space="preserve">, приведенных в </w:t>
      </w:r>
      <w:r>
        <w:rPr>
          <w:highlight w:val="none"/>
        </w:rPr>
        <w:t xml:space="preserve">Ценовом предложении (Приложение №4</w:t>
      </w:r>
      <w:r>
        <w:rPr>
          <w:highlight w:val="none"/>
        </w:rPr>
        <w:t xml:space="preserve"> </w:t>
      </w:r>
      <w:r>
        <w:rPr>
          <w:highlight w:val="none"/>
        </w:rPr>
        <w:t xml:space="preserve">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). Заявки, не обеспечивающие </w:t>
      </w:r>
      <w:r>
        <w:rPr>
          <w:highlight w:val="none"/>
        </w:rPr>
        <w:t xml:space="preserve">поставку продукции </w:t>
      </w:r>
      <w:r>
        <w:rPr>
          <w:highlight w:val="none"/>
        </w:rPr>
        <w:t xml:space="preserve">в указанные сроки, к участию в закупке не допускаются.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highlight w:val="none"/>
        </w:rPr>
        <w:t xml:space="preserve">себестоимость.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62066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Поставка бетона (СЭ)</w:t>
            </w: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464 515,00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23.63.10.000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7 (семи)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п.2.4. Договора (Приложение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1"/>
          <w:numId w:val="20"/>
        </w:numPr>
        <w:jc w:val="both"/>
        <w:widowControl w:val="off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Требования, предъявляемые к поставке продукции:</w:t>
      </w:r>
      <w:r>
        <w:rPr>
          <w:b/>
          <w:sz w:val="24"/>
          <w:highlight w:val="none"/>
        </w:rPr>
      </w:r>
      <w:r>
        <w:rPr>
          <w:b/>
          <w:sz w:val="24"/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ind w:left="480"/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8"/>
        <w:numPr>
          <w:ilvl w:val="1"/>
          <w:numId w:val="20"/>
        </w:numPr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Требования, предъявляемые к продукции: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  <w:t xml:space="preserve">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Поставляемые материалы и оборудование должны соответствовать техническим требованиям ПАО «Россети» и иметь копию заключения о Проверке качества, подтверждающего возможность применени</w:t>
      </w:r>
      <w:r>
        <w:rPr>
          <w:highlight w:val="none"/>
        </w:rPr>
        <w:t xml:space="preserve">я продукции на объектах группы компаний «Россети»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</w:t>
      </w:r>
      <w:r>
        <w:rPr>
          <w:highlight w:val="none"/>
        </w:rPr>
        <w:t xml:space="preserve">4.3.4</w:t>
      </w:r>
      <w:r>
        <w:rPr>
          <w:highlight w:val="none"/>
        </w:rPr>
        <w:t xml:space="preserve"> Договора -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</w:t>
      </w:r>
      <w:r>
        <w:rPr>
          <w:highlight w:val="none"/>
        </w:rPr>
        <w:t xml:space="preserve"> настоящему ТЗ)</w:t>
      </w:r>
      <w:r>
        <w:rPr>
          <w:highlight w:val="none"/>
          <w:vertAlign w:val="superscript"/>
        </w:rPr>
        <w:t xml:space="preserve">[</w:t>
      </w:r>
      <w:r>
        <w:rPr>
          <w:rStyle w:val="1072"/>
          <w:highlight w:val="none"/>
        </w:rPr>
        <w:footnoteReference w:id="3"/>
      </w:r>
      <w:r>
        <w:rPr>
          <w:highlight w:val="none"/>
          <w:vertAlign w:val="superscript"/>
        </w:rPr>
        <w:t xml:space="preserve">]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rFonts w:eastAsia="Calibri"/>
          <w:highlight w:val="none"/>
          <w:lang w:eastAsia="en-US"/>
        </w:rPr>
        <w:t xml:space="preserve">(при условии их наличия в ТЗ)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rPr>
          <w:highlight w:val="none"/>
        </w:rPr>
      </w:pPr>
      <w:r>
        <w:rPr>
          <w:highlight w:val="none"/>
        </w:rPr>
        <w:t xml:space="preserve">Участник имеет пр</w:t>
      </w:r>
      <w:r>
        <w:rPr>
          <w:highlight w:val="none"/>
        </w:rPr>
        <w:t xml:space="preserve">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</w:t>
      </w:r>
      <w:r>
        <w:rPr>
          <w:highlight w:val="none"/>
        </w:rPr>
        <w:t xml:space="preserve">(при их наличии).</w:t>
      </w:r>
      <w:r>
        <w:rPr>
          <w:highlight w:val="none"/>
        </w:rPr>
        <w:t xml:space="preserve"> Решение о согласовании/не согласовании замены </w:t>
      </w:r>
      <w:r>
        <w:rPr>
          <w:highlight w:val="none"/>
        </w:rPr>
        <w:t xml:space="preserve">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ind w:left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Срок изготовления не ранее 3 квартала 2026г.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/>
      <w:r>
        <w:rPr>
          <w:color w:val="000000" w:themeColor="text1"/>
        </w:rPr>
        <w:t xml:space="preserve">Технические требования к продукции:</w:t>
      </w:r>
      <w:r>
        <w:rPr>
          <w:rStyle w:val="1041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1.10.6.1. Гарантийный срок на поставляемую продукцию должен составлять не менее 1 (одного) года с момента поставки продукции на склад Грузополучателя.     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58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highlight w:val="none"/>
        </w:rPr>
      </w:r>
      <w:bookmarkStart w:id="7" w:name="_Toc439063131"/>
      <w:r>
        <w:rPr>
          <w:highlight w:val="none"/>
        </w:rPr>
      </w:r>
      <w:bookmarkStart w:id="8" w:name="_Toc8120154"/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59"/>
        <w:numPr>
          <w:ilvl w:val="1"/>
          <w:numId w:val="20"/>
        </w:numPr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1060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highlight w:val="none"/>
        </w:rPr>
      </w:pPr>
      <w:r>
        <w:rPr>
          <w:rFonts w:eastAsia="MS Mincho"/>
          <w:highlight w:val="non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 Приложение №4 к Техническому заданию.</w:t>
      </w:r>
      <w:r>
        <w:rPr>
          <w:highlight w:val="none"/>
        </w:rPr>
      </w:r>
      <w:r>
        <w:rPr>
          <w:highlight w:val="none"/>
        </w:rPr>
      </w:r>
    </w:p>
    <w:p>
      <w:pPr>
        <w:pStyle w:val="1060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</w:t>
      </w:r>
      <w:r>
        <w:rPr>
          <w:rFonts w:eastAsia="MS Mincho"/>
          <w:highlight w:val="none"/>
          <w:lang w:eastAsia="ja-JP"/>
        </w:rPr>
        <w:t xml:space="preserve">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60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60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58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60"/>
        <w:numPr>
          <w:ilvl w:val="1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none"/>
        </w:rPr>
        <w:suppressLineNumbers w:val="0"/>
      </w:pPr>
      <w:r>
        <w:rPr>
          <w:rFonts w:eastAsia="Calibri"/>
          <w:highlight w:val="none"/>
        </w:rPr>
        <w:t xml:space="preserve">Приложение №4 к Техническому заданию в формате excel, заполняется строго по форме Заказчика, с обязательным заполнением  столбцов, помеченных «*», с указанием гарантийного срока и соответствия технич</w:t>
      </w:r>
      <w:r>
        <w:rPr>
          <w:rFonts w:eastAsia="Calibri"/>
          <w:highlight w:val="none"/>
        </w:rPr>
        <w:t xml:space="preserve">еской части (пункты 1 и 2 под таблицей со знаком «*»):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none"/>
        </w:rPr>
        <w:suppressLineNumbers w:val="0"/>
      </w:pPr>
      <w:r>
        <w:rPr>
          <w:rFonts w:eastAsia="Calibri"/>
          <w:highlight w:val="none"/>
        </w:rPr>
      </w:r>
      <w:r>
        <w:rPr>
          <w:highlight w:val="none"/>
        </w:rPr>
        <w:t xml:space="preserve">В случае, если в столбце 4 «</w:t>
      </w:r>
      <w:r>
        <w:rPr>
          <w:highlight w:val="none"/>
        </w:rPr>
        <w:t xml:space="preserve">Наличие запрета/ограничения в соответствие с Постановлением Правительства Российской Федерации от 23 декабря 2024 г. № 1875 (запрет/ограничение/нет) (заполняется Заказчиком)</w:t>
      </w:r>
      <w:r>
        <w:rPr>
          <w:highlight w:val="none"/>
        </w:rPr>
        <w:t xml:space="preserve">» Приложения </w:t>
      </w:r>
      <w:r>
        <w:rPr>
          <w:highlight w:val="none"/>
        </w:rPr>
        <w:t xml:space="preserve">№4 к Техническому заданию</w:t>
      </w:r>
      <w:r>
        <w:rPr>
          <w:highlight w:val="none"/>
        </w:rPr>
        <w:t xml:space="preserve"> установлено значение «нет», столбцы 12 и 13 заполнению не подлежат.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highlight w:val="none"/>
        </w:rPr>
        <w:suppressLineNumbers w:val="0"/>
      </w:pPr>
      <w:r>
        <w:rPr>
          <w:rFonts w:eastAsia="Calibri"/>
          <w:highlight w:val="none"/>
        </w:rPr>
      </w:r>
      <w:r>
        <w:rPr>
          <w:highlight w:val="none"/>
        </w:rPr>
        <w:t xml:space="preserve">У</w:t>
      </w:r>
      <w:r>
        <w:rPr>
          <w:highlight w:val="non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non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highlight w:val="none"/>
        </w:rPr>
      </w:r>
      <w:r>
        <w:rPr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cyan"/>
        </w:rPr>
        <w:suppressLineNumbers w:val="0"/>
      </w:pPr>
      <w:r>
        <w:rPr>
          <w:highlight w:val="none"/>
        </w:rPr>
      </w:r>
      <w:r>
        <w:rPr>
          <w:highlight w:val="none"/>
        </w:rPr>
        <w:t xml:space="preserve">П</w:t>
      </w:r>
      <w:r>
        <w:rPr>
          <w:highlight w:val="none"/>
        </w:rPr>
        <w:t xml:space="preserve">рименяемый «Единый итоговый коэффициент снижения Участника на виды продукции (0&lt;K≤1)» явля</w:t>
      </w:r>
      <w:r>
        <w:rPr>
          <w:highlight w:val="none"/>
        </w:rPr>
        <w:t xml:space="preserve">ет</w:t>
      </w:r>
      <w:r>
        <w:rPr>
          <w:highlight w:val="none"/>
        </w:rPr>
        <w:t xml:space="preserve">ся единым для всех видов продукции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cyan"/>
        </w:rPr>
        <w:suppressLineNumbers w:val="0"/>
      </w:pPr>
      <w:r>
        <w:rPr>
          <w:rFonts w:eastAsia="Calibri"/>
          <w:highlight w:val="cyan"/>
        </w:rPr>
      </w:r>
      <w:r>
        <w:rPr>
          <w:highlight w:val="none"/>
          <w:lang w:val="ru-RU"/>
        </w:rPr>
        <w:t xml:space="preserve">В сто</w:t>
      </w:r>
      <w:r>
        <w:rPr>
          <w:highlight w:val="none"/>
          <w:lang w:val="ru-RU"/>
        </w:rPr>
        <w:t xml:space="preserve">лбце 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 Участник указывает размер применяемой ставки НДС в процентах (5, 10, 22 и пр.).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В случае применения упрощенной системы налогообложения (без НДС) в столбце </w:t>
      </w:r>
      <w:r>
        <w:rPr>
          <w:highlight w:val="none"/>
          <w:lang w:val="ru-RU"/>
        </w:rPr>
        <w:t xml:space="preserve">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к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ы</w:t>
      </w:r>
      <w:r>
        <w:rPr>
          <w:highlight w:val="none"/>
          <w:lang w:val="ru-RU"/>
        </w:rPr>
        <w:t xml:space="preserve">в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0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б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ц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п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.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none"/>
        </w:rPr>
        <w:suppressLineNumbers w:val="0"/>
      </w:pPr>
      <w:r>
        <w:rPr>
          <w:rFonts w:eastAsia="Calibri"/>
          <w:highlight w:val="cyan"/>
        </w:rPr>
      </w:r>
      <w:r>
        <w:rPr>
          <w:rFonts w:eastAsia="Calibri"/>
          <w:szCs w:val="24"/>
          <w:highlight w:val="none"/>
          <w:lang w:eastAsia="en-US"/>
        </w:rPr>
        <w:t xml:space="preserve">Не </w:t>
      </w:r>
      <w:r>
        <w:rPr>
          <w:rFonts w:eastAsia="Calibri"/>
          <w:szCs w:val="24"/>
          <w:highlight w:val="none"/>
          <w:lang w:eastAsia="en-US"/>
        </w:rPr>
        <w:t xml:space="preserve">допускается изменять форму, содержание, порядок строк и столбцов в таблице Приложения №4 к Техническому заданию.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none"/>
        </w:rPr>
        <w:suppressLineNumbers w:val="0"/>
      </w:pPr>
      <w:r>
        <w:rPr>
          <w:rFonts w:eastAsia="Calibri"/>
          <w:highlight w:val="none"/>
        </w:rPr>
      </w:r>
      <w:r>
        <w:rPr>
          <w:rFonts w:eastAsia="Calibri"/>
          <w:szCs w:val="24"/>
          <w:highlight w:val="none"/>
          <w:lang w:eastAsia="en-US"/>
        </w:rPr>
        <w:t xml:space="preserve">В случае нарушения требований инструкции по заполнению (пп.</w:t>
      </w:r>
      <w:r>
        <w:rPr>
          <w:rFonts w:eastAsia="Calibri"/>
          <w:szCs w:val="24"/>
          <w:highlight w:val="none"/>
          <w:lang w:eastAsia="en-US"/>
        </w:rPr>
        <w:t xml:space="preserve">3.1.1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-</w:t>
      </w:r>
      <w:r>
        <w:rPr>
          <w:rFonts w:eastAsia="Calibri"/>
          <w:szCs w:val="24"/>
          <w:highlight w:val="none"/>
          <w:lang w:eastAsia="en-US"/>
        </w:rPr>
        <w:t xml:space="preserve"> 3</w:t>
      </w:r>
      <w:r>
        <w:rPr>
          <w:rFonts w:eastAsia="Calibri"/>
          <w:szCs w:val="24"/>
          <w:highlight w:val="none"/>
          <w:lang w:eastAsia="en-US"/>
        </w:rPr>
        <w:t xml:space="preserve">.1.</w:t>
      </w:r>
      <w:r>
        <w:rPr>
          <w:rFonts w:eastAsia="Calibri"/>
          <w:szCs w:val="24"/>
          <w:highlight w:val="none"/>
          <w:lang w:eastAsia="en-US"/>
        </w:rPr>
        <w:t xml:space="preserve">8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настоящего </w:t>
      </w:r>
      <w:r>
        <w:rPr>
          <w:rFonts w:eastAsia="Calibri"/>
          <w:szCs w:val="24"/>
          <w:highlight w:val="none"/>
          <w:lang w:eastAsia="en-US"/>
        </w:rPr>
        <w:t xml:space="preserve">Технического задания</w:t>
      </w:r>
      <w:r>
        <w:rPr>
          <w:rFonts w:eastAsia="Calibri"/>
          <w:szCs w:val="24"/>
          <w:highlight w:val="none"/>
          <w:lang w:eastAsia="en-US"/>
        </w:rPr>
        <w:t xml:space="preserve">) заявка подлежит обязательному отклонению.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none"/>
        </w:rPr>
        <w:suppressLineNumbers w:val="0"/>
      </w:pPr>
      <w:r>
        <w:rPr>
          <w:rFonts w:eastAsia="Calibri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Не соответствие технических характеристик продукции, указанных Участником в Приложении №4 к </w:t>
      </w:r>
      <w:r>
        <w:rPr>
          <w:rFonts w:eastAsia="Calibri"/>
          <w:highlight w:val="none"/>
        </w:rPr>
        <w:t xml:space="preserve">Техническому заданию</w:t>
      </w:r>
      <w:r>
        <w:rPr>
          <w:rFonts w:eastAsia="Calibri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техническим требованиям Заказчика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является основанием для отклонения заявки Участника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cyan"/>
        </w:rPr>
        <w:suppressLineNumbers w:val="0"/>
      </w:pPr>
      <w:r>
        <w:rPr>
          <w:rFonts w:eastAsia="Calibri"/>
          <w:highlight w:val="cyan"/>
        </w:rPr>
      </w:r>
      <w:r>
        <w:rPr>
          <w:rFonts w:eastAsia="Calibri"/>
          <w:szCs w:val="24"/>
          <w:highlight w:val="none"/>
          <w:lang w:eastAsia="en-US"/>
        </w:rPr>
        <w:t xml:space="preserve">Не заполнение Участником закупки столбцов, не помеченных «*» в приложении №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 к</w:t>
      </w:r>
      <w:r>
        <w:rPr>
          <w:rFonts w:eastAsia="Calibri"/>
          <w:szCs w:val="24"/>
          <w:highlight w:val="none"/>
          <w:lang w:eastAsia="en-US"/>
        </w:rPr>
        <w:t xml:space="preserve"> Техническому заданию</w:t>
      </w:r>
      <w:r>
        <w:rPr>
          <w:rFonts w:eastAsia="Calibri"/>
          <w:szCs w:val="24"/>
          <w:highlight w:val="none"/>
          <w:lang w:eastAsia="en-US"/>
        </w:rPr>
        <w:t xml:space="preserve">, не является основанием для отклонения заявки Участника.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60"/>
        <w:numPr>
          <w:ilvl w:val="0"/>
          <w:numId w:val="0"/>
        </w:numPr>
        <w:widowControl w:val="off"/>
        <w:tabs>
          <w:tab w:val="left" w:pos="0" w:leader="none"/>
          <w:tab w:val="left" w:pos="142" w:leader="none"/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0"/>
          <w:numId w:val="20"/>
        </w:numPr>
        <w:ind w:left="0" w:firstLine="0"/>
        <w:keepLines/>
        <w:spacing w:before="120" w:after="120"/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2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2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2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42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42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2"/>
        <w:ind w:left="709" w:right="0" w:firstLine="0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8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1 (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обязательное</w:t>
      </w:r>
      <w:bookmarkEnd w:id="7"/>
      <w:r>
        <w:rPr>
          <w:highlight w:val="none"/>
        </w:rPr>
      </w:r>
      <w:bookmarkEnd w:id="8"/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). 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bookmarkStart w:id="10" w:name="_Toc8120155"/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bookmarkEnd w:id="10"/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bookmarkStart w:id="11" w:name="_Toc536483690"/>
      <w:r>
        <w:rPr>
          <w:highlight w:val="none"/>
        </w:rPr>
      </w:r>
      <w:bookmarkStart w:id="12" w:name="_Toc536628829"/>
      <w:r>
        <w:rPr>
          <w:highlight w:val="none"/>
        </w:rPr>
      </w:r>
      <w:bookmarkStart w:id="13" w:name="_Toc2757058"/>
      <w:r>
        <w:rPr>
          <w:highlight w:val="none"/>
        </w:rPr>
      </w:r>
      <w:bookmarkEnd w:id="11"/>
      <w:r/>
      <w:bookmarkEnd w:id="12"/>
      <w:r/>
      <w:bookmarkEnd w:id="13"/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rPr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i/>
          <w:sz w:val="28"/>
          <w:szCs w:val="28"/>
          <w:highlight w:val="none"/>
        </w:rPr>
      </w:r>
      <w:r>
        <w:rPr>
          <w:i/>
          <w:sz w:val="28"/>
          <w:szCs w:val="28"/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left"/>
        <w:rPr>
          <w:b/>
          <w:bCs/>
          <w:highlight w:val="none"/>
        </w:rPr>
      </w:pPr>
      <w:r>
        <w:rPr>
          <w:highlight w:val="none"/>
        </w:rPr>
        <w:t xml:space="preserve">Техническое задание </w:t>
      </w:r>
      <w:r>
        <w:rPr>
          <w:b w:val="0"/>
          <w:bCs w:val="0"/>
          <w:highlight w:val="none"/>
        </w:rPr>
        <w:t xml:space="preserve">с</w:t>
      </w:r>
      <w:r>
        <w:rPr>
          <w:b w:val="0"/>
          <w:bCs w:val="0"/>
          <w:highlight w:val="none"/>
        </w:rPr>
        <w:t xml:space="preserve">оставил:</w:t>
      </w:r>
      <w:r>
        <w:rPr>
          <w:b w:val="0"/>
          <w:bCs w:val="0"/>
          <w:highlight w:val="none"/>
        </w:rPr>
        <w:tab/>
      </w:r>
      <w:r>
        <w:rPr>
          <w:b w:val="0"/>
          <w:bCs w:val="0"/>
          <w:highlight w:val="none"/>
        </w:rPr>
        <w:tab/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rPr>
          <w:highlight w:val="none"/>
        </w:rPr>
      </w:pPr>
      <w:r>
        <w:rPr>
          <w:b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bookmarkStart w:id="0" w:name="undefined"/>
            <w:r>
              <w:rPr>
                <w:highlight w:val="none"/>
              </w:rPr>
            </w:r>
            <w:bookmarkEnd w:id="0"/>
            <w:r>
              <w:rPr>
                <w:sz w:val="20"/>
                <w:szCs w:val="20"/>
                <w:highlight w:val="none"/>
              </w:rPr>
              <w:t xml:space="preserve">Начальник ОЛиМТО ДЗЛиМТО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Губина О.С.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9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69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Обоснование начальной (максимальной) цены договора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17" w:name="l55"/>
            <w:r>
              <w:rPr>
                <w:highlight w:val="none"/>
              </w:rPr>
            </w:r>
            <w:bookmarkEnd w:id="17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договора, руб с НДС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464 515,00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Нормативный метод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42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left="0" w:right="0" w:firstLine="0"/>
              <w:spacing w:after="300"/>
              <w:rPr>
                <w:i/>
                <w:highlight w:val="none"/>
              </w:rPr>
            </w:pPr>
            <w:r>
              <w:rPr>
                <w:highlight w:val="none"/>
              </w:rPr>
              <w:t xml:space="preserve">Единый стандарт закупок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ind w:firstLine="851"/>
              <w:spacing w:after="300"/>
              <w:rPr>
                <w:i/>
                <w:highlight w:val="none"/>
              </w:rPr>
            </w:pPr>
            <w:r>
              <w:rPr>
                <w:highlight w:val="none"/>
              </w:rPr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i/>
                <w:highlight w:val="none"/>
              </w:rPr>
            </w:pPr>
            <w:r>
              <w:rPr>
                <w:i/>
                <w:highlight w:val="none"/>
              </w:rPr>
            </w:r>
            <w:r>
              <w:t xml:space="preserve">Приложение №1.1. к Техническому заданию – Расчет НМЦ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ind w:firstLine="851"/>
              <w:spacing w:after="300"/>
              <w:rPr>
                <w:i/>
                <w:highlight w:val="none"/>
              </w:rPr>
            </w:pP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Herepanova-OA" w:date="2026-02-20T13:53:19Z" w:initials="C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удалить, если закупка без нац.режима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5409B52" w16cex:dateUtc="2026-02-20T08:53:19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5409B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105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  <w:rPr>
        <w:rStyle w:val="1054"/>
      </w:rPr>
      <w:framePr w:wrap="around" w:vAnchor="text" w:hAnchor="margin" w:xAlign="center" w:y="1"/>
    </w:pPr>
    <w:r>
      <w:rPr>
        <w:rStyle w:val="1054"/>
      </w:rPr>
      <w:fldChar w:fldCharType="begin"/>
    </w:r>
    <w:r>
      <w:rPr>
        <w:rStyle w:val="1054"/>
      </w:rPr>
      <w:instrText xml:space="preserve">PAGE  </w:instrText>
    </w:r>
    <w:r>
      <w:rPr>
        <w:rStyle w:val="1054"/>
      </w:rPr>
      <w:fldChar w:fldCharType="end"/>
    </w:r>
    <w:r>
      <w:rPr>
        <w:rStyle w:val="1054"/>
      </w:rPr>
    </w:r>
    <w:r>
      <w:rPr>
        <w:rStyle w:val="1054"/>
      </w:rPr>
    </w:r>
  </w:p>
  <w:p>
    <w:pPr>
      <w:pStyle w:val="105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72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</w:t>
      </w:r>
      <w:r>
        <w:rPr>
          <w:color w:val="000000"/>
          <w:sz w:val="20"/>
          <w:szCs w:val="20"/>
        </w:rPr>
        <w:t xml:space="preserve">поставки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полностью соответствует указанному в Приложении</w:t>
      </w:r>
      <w:r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4</w:t>
      </w:r>
      <w:r>
        <w:rPr>
          <w:color w:val="000000"/>
          <w:sz w:val="20"/>
          <w:szCs w:val="20"/>
        </w:rPr>
        <w:t xml:space="preserve"> к </w:t>
      </w:r>
      <w:r>
        <w:rPr>
          <w:color w:val="000000"/>
          <w:sz w:val="20"/>
          <w:szCs w:val="20"/>
        </w:rPr>
        <w:t xml:space="preserve">Техническому заданию</w:t>
      </w:r>
      <w:r>
        <w:rPr>
          <w:color w:val="000000"/>
          <w:sz w:val="20"/>
          <w:szCs w:val="20"/>
        </w:rPr>
        <w:t xml:space="preserve">, в том числе в части указания промежуточны</w:t>
      </w:r>
      <w:r>
        <w:rPr>
          <w:color w:val="000000"/>
          <w:sz w:val="20"/>
          <w:szCs w:val="20"/>
        </w:rPr>
        <w:t xml:space="preserve">х сроков поставок</w:t>
      </w: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  <w:p>
      <w:pPr>
        <w:pStyle w:val="1070"/>
      </w:pPr>
      <w:r/>
      <w:r/>
    </w:p>
  </w:footnote>
  <w:footnote w:id="3">
    <w:p>
      <w:pPr>
        <w:pStyle w:val="1070"/>
        <w:jc w:val="both"/>
        <w:rPr>
          <w:sz w:val="18"/>
          <w:szCs w:val="18"/>
        </w:rPr>
      </w:pPr>
      <w:r>
        <w:rPr>
          <w:rStyle w:val="1072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«Россети» (протокол заседания Правления ОАО «Россети»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49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«Россети», и размещается на официальном сайте ПАО «Россети»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49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7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styleLink w:val="1061"/>
    <w:lvl w:ilvl="0">
      <w:start w:val="1"/>
      <w:numFmt w:val="decimal"/>
      <w:pStyle w:val="105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59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60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62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63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64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65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9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6"/>
  </w:num>
  <w:num w:numId="5">
    <w:abstractNumId w:val="25"/>
  </w:num>
  <w:num w:numId="6">
    <w:abstractNumId w:val="20"/>
  </w:num>
  <w:num w:numId="7">
    <w:abstractNumId w:val="17"/>
  </w:num>
  <w:num w:numId="8">
    <w:abstractNumId w:val="3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6"/>
  </w:num>
  <w:num w:numId="12">
    <w:abstractNumId w:val="19"/>
  </w:num>
  <w:num w:numId="13">
    <w:abstractNumId w:val="2"/>
  </w:num>
  <w:num w:numId="14">
    <w:abstractNumId w:val="3"/>
  </w:num>
  <w:num w:numId="15">
    <w:abstractNumId w:val="16"/>
  </w:num>
  <w:num w:numId="16">
    <w:abstractNumId w:val="24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2"/>
  </w:num>
  <w:num w:numId="22">
    <w:abstractNumId w:val="13"/>
  </w:num>
  <w:num w:numId="23">
    <w:abstractNumId w:val="28"/>
  </w:num>
  <w:num w:numId="24">
    <w:abstractNumId w:val="18"/>
  </w:num>
  <w:num w:numId="25">
    <w:abstractNumId w:val="8"/>
  </w:num>
  <w:num w:numId="26">
    <w:abstractNumId w:val="10"/>
  </w:num>
  <w:num w:numId="27">
    <w:abstractNumId w:val="29"/>
    <w:lvlOverride w:ilvl="0">
      <w:lvl w:ilvl="0">
        <w:start w:val="1"/>
        <w:numFmt w:val="decimal"/>
        <w:pStyle w:val="105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9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60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62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63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6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65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7"/>
  </w:num>
  <w:num w:numId="32">
    <w:abstractNumId w:val="0"/>
  </w:num>
  <w:num w:numId="33">
    <w:abstractNumId w:val="21"/>
  </w:num>
  <w:num w:numId="34">
    <w:abstractNumId w:val="29"/>
    <w:lvlOverride w:ilvl="0">
      <w:startOverride w:val="1"/>
      <w:lvl w:ilvl="0">
        <w:start w:val="1"/>
        <w:numFmt w:val="decimal"/>
        <w:pStyle w:val="105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59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29"/>
    <w:lvlOverride w:ilvl="0">
      <w:lvl w:ilvl="0">
        <w:start w:val="1"/>
        <w:numFmt w:val="decimal"/>
        <w:pStyle w:val="105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9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60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pStyle w:val="1062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63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6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65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29"/>
    <w:lvlOverride w:ilvl="0">
      <w:lvl w:ilvl="0">
        <w:start w:val="1"/>
        <w:numFmt w:val="decimal"/>
        <w:pStyle w:val="105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9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060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</w:rPr>
      </w:lvl>
    </w:lvlOverride>
    <w:lvlOverride w:ilvl="3">
      <w:lvl w:ilvl="3">
        <w:start w:val="1"/>
        <w:numFmt w:val="decimal"/>
        <w:pStyle w:val="1062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63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6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pStyle w:val="1065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32"/>
  </w:num>
  <w:num w:numId="38">
    <w:abstractNumId w:val="33"/>
  </w:num>
  <w:num w:numId="39">
    <w:abstractNumId w:val="34"/>
  </w:num>
  <w:num w:numId="40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36"/>
  </w:num>
  <w:num w:numId="42">
    <w:abstractNumId w:val="37"/>
  </w:num>
  <w:num w:numId="43">
    <w:abstractNumId w:val="38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>
    <w:abstractNumId w:val="39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  <w:sz w:val="24"/>
          <w:szCs w:val="24"/>
          <w:highlight w:val="none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5">
    <w:abstractNumId w:val="40"/>
  </w:num>
  <w:num w:numId="46">
    <w:abstractNumId w:val="41"/>
  </w:num>
  <w:num w:numId="47">
    <w:abstractNumId w:val="42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  <w:highlight w:val="none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8">
    <w:abstractNumId w:val="43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9">
    <w:abstractNumId w:val="44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0">
    <w:abstractNumId w:val="45"/>
  </w:num>
  <w:num w:numId="51">
    <w:abstractNumId w:val="46"/>
  </w:num>
  <w:num w:numId="52">
    <w:abstractNumId w:val="47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  <w:highlight w:val="none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3">
    <w:abstractNumId w:val="48"/>
  </w:num>
  <w:num w:numId="54">
    <w:abstractNumId w:val="49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repanova-OA">
    <w15:presenceInfo w15:providerId="Teamlab" w15:userId="CHerepanova-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7">
    <w:name w:val="Heading 1 Char"/>
    <w:basedOn w:val="1029"/>
    <w:link w:val="1025"/>
    <w:uiPriority w:val="9"/>
    <w:rPr>
      <w:rFonts w:ascii="Arial" w:hAnsi="Arial" w:eastAsia="Arial" w:cs="Arial"/>
      <w:sz w:val="40"/>
      <w:szCs w:val="40"/>
    </w:rPr>
  </w:style>
  <w:style w:type="character" w:styleId="858">
    <w:name w:val="Heading 2 Char"/>
    <w:basedOn w:val="1029"/>
    <w:link w:val="1026"/>
    <w:uiPriority w:val="9"/>
    <w:rPr>
      <w:rFonts w:ascii="Arial" w:hAnsi="Arial" w:eastAsia="Arial" w:cs="Arial"/>
      <w:sz w:val="34"/>
    </w:rPr>
  </w:style>
  <w:style w:type="character" w:styleId="859">
    <w:name w:val="Heading 3 Char"/>
    <w:basedOn w:val="1029"/>
    <w:link w:val="1027"/>
    <w:uiPriority w:val="9"/>
    <w:rPr>
      <w:rFonts w:ascii="Arial" w:hAnsi="Arial" w:eastAsia="Arial" w:cs="Arial"/>
      <w:sz w:val="30"/>
      <w:szCs w:val="30"/>
    </w:rPr>
  </w:style>
  <w:style w:type="paragraph" w:styleId="860">
    <w:name w:val="Heading 4"/>
    <w:basedOn w:val="1024"/>
    <w:next w:val="1024"/>
    <w:link w:val="8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61">
    <w:name w:val="Heading 4 Char"/>
    <w:basedOn w:val="1029"/>
    <w:link w:val="860"/>
    <w:uiPriority w:val="9"/>
    <w:rPr>
      <w:rFonts w:ascii="Arial" w:hAnsi="Arial" w:eastAsia="Arial" w:cs="Arial"/>
      <w:b/>
      <w:bCs/>
      <w:sz w:val="26"/>
      <w:szCs w:val="26"/>
    </w:rPr>
  </w:style>
  <w:style w:type="character" w:styleId="862">
    <w:name w:val="Heading 5 Char"/>
    <w:basedOn w:val="1029"/>
    <w:link w:val="1028"/>
    <w:uiPriority w:val="9"/>
    <w:rPr>
      <w:rFonts w:ascii="Arial" w:hAnsi="Arial" w:eastAsia="Arial" w:cs="Arial"/>
      <w:b/>
      <w:bCs/>
      <w:sz w:val="24"/>
      <w:szCs w:val="24"/>
    </w:rPr>
  </w:style>
  <w:style w:type="paragraph" w:styleId="863">
    <w:name w:val="Heading 6"/>
    <w:basedOn w:val="1024"/>
    <w:next w:val="1024"/>
    <w:link w:val="8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64">
    <w:name w:val="Heading 6 Char"/>
    <w:basedOn w:val="1029"/>
    <w:link w:val="863"/>
    <w:uiPriority w:val="9"/>
    <w:rPr>
      <w:rFonts w:ascii="Arial" w:hAnsi="Arial" w:eastAsia="Arial" w:cs="Arial"/>
      <w:b/>
      <w:bCs/>
      <w:sz w:val="22"/>
      <w:szCs w:val="22"/>
    </w:rPr>
  </w:style>
  <w:style w:type="paragraph" w:styleId="865">
    <w:name w:val="Heading 7"/>
    <w:basedOn w:val="1024"/>
    <w:next w:val="1024"/>
    <w:link w:val="8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66">
    <w:name w:val="Heading 7 Char"/>
    <w:basedOn w:val="1029"/>
    <w:link w:val="8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67">
    <w:name w:val="Heading 8"/>
    <w:basedOn w:val="1024"/>
    <w:next w:val="1024"/>
    <w:link w:val="8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68">
    <w:name w:val="Heading 8 Char"/>
    <w:basedOn w:val="1029"/>
    <w:link w:val="867"/>
    <w:uiPriority w:val="9"/>
    <w:rPr>
      <w:rFonts w:ascii="Arial" w:hAnsi="Arial" w:eastAsia="Arial" w:cs="Arial"/>
      <w:i/>
      <w:iCs/>
      <w:sz w:val="22"/>
      <w:szCs w:val="22"/>
    </w:rPr>
  </w:style>
  <w:style w:type="paragraph" w:styleId="869">
    <w:name w:val="Heading 9"/>
    <w:basedOn w:val="1024"/>
    <w:next w:val="1024"/>
    <w:link w:val="8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0">
    <w:name w:val="Heading 9 Char"/>
    <w:basedOn w:val="1029"/>
    <w:link w:val="869"/>
    <w:uiPriority w:val="9"/>
    <w:rPr>
      <w:rFonts w:ascii="Arial" w:hAnsi="Arial" w:eastAsia="Arial" w:cs="Arial"/>
      <w:i/>
      <w:iCs/>
      <w:sz w:val="21"/>
      <w:szCs w:val="21"/>
    </w:rPr>
  </w:style>
  <w:style w:type="character" w:styleId="871">
    <w:name w:val="Title Char"/>
    <w:basedOn w:val="1029"/>
    <w:link w:val="1036"/>
    <w:uiPriority w:val="10"/>
    <w:rPr>
      <w:sz w:val="48"/>
      <w:szCs w:val="48"/>
    </w:rPr>
  </w:style>
  <w:style w:type="paragraph" w:styleId="872">
    <w:name w:val="Subtitle"/>
    <w:basedOn w:val="1024"/>
    <w:next w:val="1024"/>
    <w:link w:val="873"/>
    <w:uiPriority w:val="11"/>
    <w:qFormat/>
    <w:pPr>
      <w:spacing w:before="200" w:after="200"/>
    </w:pPr>
    <w:rPr>
      <w:sz w:val="24"/>
      <w:szCs w:val="24"/>
    </w:rPr>
  </w:style>
  <w:style w:type="character" w:styleId="873">
    <w:name w:val="Subtitle Char"/>
    <w:basedOn w:val="1029"/>
    <w:link w:val="872"/>
    <w:uiPriority w:val="11"/>
    <w:rPr>
      <w:sz w:val="24"/>
      <w:szCs w:val="24"/>
    </w:rPr>
  </w:style>
  <w:style w:type="paragraph" w:styleId="874">
    <w:name w:val="Quote"/>
    <w:basedOn w:val="1024"/>
    <w:next w:val="1024"/>
    <w:link w:val="875"/>
    <w:uiPriority w:val="29"/>
    <w:qFormat/>
    <w:pPr>
      <w:ind w:left="720" w:right="720"/>
    </w:pPr>
    <w:rPr>
      <w:i/>
    </w:rPr>
  </w:style>
  <w:style w:type="character" w:styleId="875">
    <w:name w:val="Quote Char"/>
    <w:link w:val="874"/>
    <w:uiPriority w:val="29"/>
    <w:rPr>
      <w:i/>
    </w:rPr>
  </w:style>
  <w:style w:type="paragraph" w:styleId="876">
    <w:name w:val="Intense Quote"/>
    <w:basedOn w:val="1024"/>
    <w:next w:val="1024"/>
    <w:link w:val="8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7">
    <w:name w:val="Intense Quote Char"/>
    <w:link w:val="876"/>
    <w:uiPriority w:val="30"/>
    <w:rPr>
      <w:i/>
    </w:rPr>
  </w:style>
  <w:style w:type="paragraph" w:styleId="878">
    <w:name w:val="Header"/>
    <w:basedOn w:val="1024"/>
    <w:link w:val="8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9">
    <w:name w:val="Header Char"/>
    <w:basedOn w:val="1029"/>
    <w:link w:val="878"/>
    <w:uiPriority w:val="99"/>
  </w:style>
  <w:style w:type="character" w:styleId="880">
    <w:name w:val="Footer Char"/>
    <w:basedOn w:val="1029"/>
    <w:link w:val="1052"/>
    <w:uiPriority w:val="99"/>
  </w:style>
  <w:style w:type="paragraph" w:styleId="881">
    <w:name w:val="Caption"/>
    <w:basedOn w:val="1024"/>
    <w:next w:val="1024"/>
    <w:link w:val="88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82">
    <w:name w:val="Caption Char"/>
    <w:basedOn w:val="1029"/>
    <w:link w:val="881"/>
    <w:uiPriority w:val="35"/>
    <w:rPr>
      <w:b/>
      <w:bCs/>
      <w:color w:val="4f81bd" w:themeColor="accent1"/>
      <w:sz w:val="18"/>
      <w:szCs w:val="18"/>
    </w:rPr>
  </w:style>
  <w:style w:type="table" w:styleId="883">
    <w:name w:val="Table Grid"/>
    <w:basedOn w:val="103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4">
    <w:name w:val="Table Grid Light"/>
    <w:basedOn w:val="10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5">
    <w:name w:val="Plain Table 1"/>
    <w:basedOn w:val="10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6">
    <w:name w:val="Plain Table 2"/>
    <w:basedOn w:val="10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7">
    <w:name w:val="Plain Table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8">
    <w:name w:val="Plain Table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Plain Table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0">
    <w:name w:val="Grid Table 1 Light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1 Light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Grid Table 1 Light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Grid Table 1 Light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Grid Table 1 Light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Grid Table 1 Light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Grid Table 1 Light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Grid Table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2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2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2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2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2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2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3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3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3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3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3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3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4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2">
    <w:name w:val="Grid Table 4 - Accent 1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13">
    <w:name w:val="Grid Table 4 - Accent 2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14">
    <w:name w:val="Grid Table 4 - Accent 3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15">
    <w:name w:val="Grid Table 4 - Accent 4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6">
    <w:name w:val="Grid Table 4 - Accent 5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7">
    <w:name w:val="Grid Table 4 - Accent 6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8">
    <w:name w:val="Grid Table 5 Dark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9">
    <w:name w:val="Grid Table 5 Dark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20">
    <w:name w:val="Grid Table 5 Dark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21">
    <w:name w:val="Grid Table 5 Dark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22">
    <w:name w:val="Grid Table 5 Dark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23">
    <w:name w:val="Grid Table 5 Dark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24">
    <w:name w:val="Grid Table 5 Dark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25">
    <w:name w:val="Grid Table 6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6">
    <w:name w:val="Grid Table 6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7">
    <w:name w:val="Grid Table 6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8">
    <w:name w:val="Grid Table 6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9">
    <w:name w:val="Grid Table 6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0">
    <w:name w:val="Grid Table 6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1">
    <w:name w:val="Grid Table 6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2">
    <w:name w:val="Grid Table 7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7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7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7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7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7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7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1 Light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List Table 1 Light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List Table 1 Light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List Table 1 Light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List Table 1 Light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List Table 1 Light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List Table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47">
    <w:name w:val="List Table 2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8">
    <w:name w:val="List Table 2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9">
    <w:name w:val="List Table 2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50">
    <w:name w:val="List Table 2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51">
    <w:name w:val="List Table 2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52">
    <w:name w:val="List Table 2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53">
    <w:name w:val="List Table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3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3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3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3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3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3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4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4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4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4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4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4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5 Dark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8">
    <w:name w:val="List Table 5 Dark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9">
    <w:name w:val="List Table 5 Dark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0">
    <w:name w:val="List Table 5 Dark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1">
    <w:name w:val="List Table 5 Dark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2">
    <w:name w:val="List Table 5 Dark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3">
    <w:name w:val="List Table 5 Dark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4">
    <w:name w:val="List Table 6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75">
    <w:name w:val="List Table 6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6">
    <w:name w:val="List Table 6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77">
    <w:name w:val="List Table 6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8">
    <w:name w:val="List Table 6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9">
    <w:name w:val="List Table 6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80">
    <w:name w:val="List Table 6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81">
    <w:name w:val="List Table 7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82">
    <w:name w:val="List Table 7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83">
    <w:name w:val="List Table 7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84">
    <w:name w:val="List Table 7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85">
    <w:name w:val="List Table 7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86">
    <w:name w:val="List Table 7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87">
    <w:name w:val="List Table 7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88">
    <w:name w:val="Lined - Accent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9">
    <w:name w:val="Lined - Accent 1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0">
    <w:name w:val="Lined - Accent 2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1">
    <w:name w:val="Lined - Accent 3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2">
    <w:name w:val="Lined - Accent 4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3">
    <w:name w:val="Lined - Accent 5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4">
    <w:name w:val="Lined - Accent 6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5">
    <w:name w:val="Bordered &amp; Lined - Accent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6">
    <w:name w:val="Bordered &amp; Lined - Accent 1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7">
    <w:name w:val="Bordered &amp; Lined - Accent 2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8">
    <w:name w:val="Bordered &amp; Lined - Accent 3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9">
    <w:name w:val="Bordered &amp; Lined - Accent 4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00">
    <w:name w:val="Bordered &amp; Lined - Accent 5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01">
    <w:name w:val="Bordered &amp; Lined - Accent 6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02">
    <w:name w:val="Bordered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03">
    <w:name w:val="Bordered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04">
    <w:name w:val="Bordered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05">
    <w:name w:val="Bordered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6">
    <w:name w:val="Bordered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07">
    <w:name w:val="Bordered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8">
    <w:name w:val="Bordered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9">
    <w:name w:val="Footnote Text Char"/>
    <w:link w:val="1070"/>
    <w:uiPriority w:val="99"/>
    <w:rPr>
      <w:sz w:val="18"/>
    </w:rPr>
  </w:style>
  <w:style w:type="paragraph" w:styleId="1010">
    <w:name w:val="endnote text"/>
    <w:basedOn w:val="1024"/>
    <w:link w:val="1011"/>
    <w:uiPriority w:val="99"/>
    <w:semiHidden/>
    <w:unhideWhenUsed/>
    <w:pPr>
      <w:spacing w:after="0" w:line="240" w:lineRule="auto"/>
    </w:pPr>
    <w:rPr>
      <w:sz w:val="20"/>
    </w:rPr>
  </w:style>
  <w:style w:type="character" w:styleId="1011">
    <w:name w:val="Endnote Text Char"/>
    <w:link w:val="1010"/>
    <w:uiPriority w:val="99"/>
    <w:rPr>
      <w:sz w:val="20"/>
    </w:rPr>
  </w:style>
  <w:style w:type="character" w:styleId="1012">
    <w:name w:val="endnote reference"/>
    <w:basedOn w:val="1029"/>
    <w:uiPriority w:val="99"/>
    <w:semiHidden/>
    <w:unhideWhenUsed/>
    <w:rPr>
      <w:vertAlign w:val="superscript"/>
    </w:rPr>
  </w:style>
  <w:style w:type="paragraph" w:styleId="1013">
    <w:name w:val="toc 1"/>
    <w:basedOn w:val="1024"/>
    <w:next w:val="1024"/>
    <w:uiPriority w:val="39"/>
    <w:unhideWhenUsed/>
    <w:pPr>
      <w:ind w:left="0" w:right="0" w:firstLine="0"/>
      <w:spacing w:after="57"/>
    </w:pPr>
  </w:style>
  <w:style w:type="paragraph" w:styleId="1014">
    <w:name w:val="toc 2"/>
    <w:basedOn w:val="1024"/>
    <w:next w:val="1024"/>
    <w:uiPriority w:val="39"/>
    <w:unhideWhenUsed/>
    <w:pPr>
      <w:ind w:left="283" w:right="0" w:firstLine="0"/>
      <w:spacing w:after="57"/>
    </w:pPr>
  </w:style>
  <w:style w:type="paragraph" w:styleId="1015">
    <w:name w:val="toc 3"/>
    <w:basedOn w:val="1024"/>
    <w:next w:val="1024"/>
    <w:uiPriority w:val="39"/>
    <w:unhideWhenUsed/>
    <w:pPr>
      <w:ind w:left="567" w:right="0" w:firstLine="0"/>
      <w:spacing w:after="57"/>
    </w:pPr>
  </w:style>
  <w:style w:type="paragraph" w:styleId="1016">
    <w:name w:val="toc 4"/>
    <w:basedOn w:val="1024"/>
    <w:next w:val="1024"/>
    <w:uiPriority w:val="39"/>
    <w:unhideWhenUsed/>
    <w:pPr>
      <w:ind w:left="850" w:right="0" w:firstLine="0"/>
      <w:spacing w:after="57"/>
    </w:pPr>
  </w:style>
  <w:style w:type="paragraph" w:styleId="1017">
    <w:name w:val="toc 5"/>
    <w:basedOn w:val="1024"/>
    <w:next w:val="1024"/>
    <w:uiPriority w:val="39"/>
    <w:unhideWhenUsed/>
    <w:pPr>
      <w:ind w:left="1134" w:right="0" w:firstLine="0"/>
      <w:spacing w:after="57"/>
    </w:pPr>
  </w:style>
  <w:style w:type="paragraph" w:styleId="1018">
    <w:name w:val="toc 6"/>
    <w:basedOn w:val="1024"/>
    <w:next w:val="1024"/>
    <w:uiPriority w:val="39"/>
    <w:unhideWhenUsed/>
    <w:pPr>
      <w:ind w:left="1417" w:right="0" w:firstLine="0"/>
      <w:spacing w:after="57"/>
    </w:pPr>
  </w:style>
  <w:style w:type="paragraph" w:styleId="1019">
    <w:name w:val="toc 7"/>
    <w:basedOn w:val="1024"/>
    <w:next w:val="1024"/>
    <w:uiPriority w:val="39"/>
    <w:unhideWhenUsed/>
    <w:pPr>
      <w:ind w:left="1701" w:right="0" w:firstLine="0"/>
      <w:spacing w:after="57"/>
    </w:pPr>
  </w:style>
  <w:style w:type="paragraph" w:styleId="1020">
    <w:name w:val="toc 8"/>
    <w:basedOn w:val="1024"/>
    <w:next w:val="1024"/>
    <w:uiPriority w:val="39"/>
    <w:unhideWhenUsed/>
    <w:pPr>
      <w:ind w:left="1984" w:right="0" w:firstLine="0"/>
      <w:spacing w:after="57"/>
    </w:pPr>
  </w:style>
  <w:style w:type="paragraph" w:styleId="1021">
    <w:name w:val="toc 9"/>
    <w:basedOn w:val="1024"/>
    <w:next w:val="1024"/>
    <w:uiPriority w:val="39"/>
    <w:unhideWhenUsed/>
    <w:pPr>
      <w:ind w:left="2268" w:right="0" w:firstLine="0"/>
      <w:spacing w:after="57"/>
    </w:pPr>
  </w:style>
  <w:style w:type="paragraph" w:styleId="1022">
    <w:name w:val="TOC Heading"/>
    <w:uiPriority w:val="39"/>
    <w:unhideWhenUsed/>
  </w:style>
  <w:style w:type="paragraph" w:styleId="1023">
    <w:name w:val="table of figures"/>
    <w:basedOn w:val="1024"/>
    <w:next w:val="1024"/>
    <w:uiPriority w:val="99"/>
    <w:unhideWhenUsed/>
    <w:pPr>
      <w:spacing w:after="0" w:afterAutospacing="0"/>
    </w:pPr>
  </w:style>
  <w:style w:type="paragraph" w:styleId="102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5">
    <w:name w:val="Heading 1"/>
    <w:basedOn w:val="1024"/>
    <w:next w:val="1024"/>
    <w:link w:val="1032"/>
    <w:qFormat/>
    <w:pPr>
      <w:jc w:val="center"/>
      <w:keepNext/>
      <w:outlineLvl w:val="0"/>
    </w:pPr>
    <w:rPr>
      <w:sz w:val="28"/>
    </w:rPr>
  </w:style>
  <w:style w:type="paragraph" w:styleId="1026">
    <w:name w:val="Heading 2"/>
    <w:basedOn w:val="1024"/>
    <w:next w:val="1024"/>
    <w:link w:val="1057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27">
    <w:name w:val="Heading 3"/>
    <w:basedOn w:val="1024"/>
    <w:next w:val="1024"/>
    <w:link w:val="1055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28">
    <w:name w:val="Heading 5"/>
    <w:basedOn w:val="1024"/>
    <w:next w:val="1024"/>
    <w:link w:val="1050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29" w:default="1">
    <w:name w:val="Default Paragraph Font"/>
    <w:uiPriority w:val="1"/>
    <w:semiHidden/>
    <w:unhideWhenUsed/>
  </w:style>
  <w:style w:type="table" w:styleId="10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1" w:default="1">
    <w:name w:val="No List"/>
    <w:uiPriority w:val="99"/>
    <w:semiHidden/>
    <w:unhideWhenUsed/>
  </w:style>
  <w:style w:type="character" w:styleId="1032" w:customStyle="1">
    <w:name w:val="Заголовок 1 Знак"/>
    <w:basedOn w:val="1029"/>
    <w:link w:val="1025"/>
    <w:rPr>
      <w:rFonts w:ascii="Times New Roman" w:hAnsi="Times New Roman" w:eastAsia="Times New Roman" w:cs="Times New Roman"/>
      <w:sz w:val="28"/>
      <w:szCs w:val="24"/>
    </w:rPr>
  </w:style>
  <w:style w:type="paragraph" w:styleId="1033">
    <w:name w:val="Body Text Indent"/>
    <w:basedOn w:val="1024"/>
    <w:link w:val="1034"/>
    <w:uiPriority w:val="99"/>
    <w:pPr>
      <w:ind w:left="1083" w:firstLine="537"/>
      <w:jc w:val="both"/>
      <w:tabs>
        <w:tab w:val="num" w:pos="0" w:leader="none"/>
      </w:tabs>
    </w:pPr>
  </w:style>
  <w:style w:type="character" w:styleId="1034" w:customStyle="1">
    <w:name w:val="Основной текст с отступом Знак"/>
    <w:basedOn w:val="1029"/>
    <w:link w:val="1033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35">
    <w:name w:val="Normal (Web)"/>
    <w:basedOn w:val="1024"/>
    <w:uiPriority w:val="99"/>
    <w:pPr>
      <w:spacing w:before="100" w:beforeAutospacing="1" w:after="100" w:afterAutospacing="1"/>
    </w:pPr>
  </w:style>
  <w:style w:type="paragraph" w:styleId="1036">
    <w:name w:val="Title"/>
    <w:basedOn w:val="1024"/>
    <w:link w:val="1037"/>
    <w:uiPriority w:val="10"/>
    <w:qFormat/>
    <w:pPr>
      <w:jc w:val="center"/>
    </w:pPr>
    <w:rPr>
      <w:sz w:val="28"/>
    </w:rPr>
  </w:style>
  <w:style w:type="character" w:styleId="1037" w:customStyle="1">
    <w:name w:val="Заголовок Знак"/>
    <w:basedOn w:val="1029"/>
    <w:link w:val="1036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38" w:customStyle="1">
    <w:name w:val="Подподпункт"/>
    <w:basedOn w:val="1024"/>
  </w:style>
  <w:style w:type="paragraph" w:styleId="1039">
    <w:name w:val="Plain Text"/>
    <w:basedOn w:val="1024"/>
    <w:link w:val="1040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40" w:customStyle="1">
    <w:name w:val="Текст Знак"/>
    <w:basedOn w:val="1029"/>
    <w:link w:val="1039"/>
    <w:uiPriority w:val="99"/>
    <w:rPr>
      <w:rFonts w:ascii="Consolas" w:hAnsi="Consolas" w:eastAsia="Calibri" w:cs="Times New Roman"/>
      <w:sz w:val="21"/>
      <w:szCs w:val="21"/>
    </w:rPr>
  </w:style>
  <w:style w:type="character" w:styleId="1041">
    <w:name w:val="annotation reference"/>
    <w:uiPriority w:val="99"/>
    <w:rPr>
      <w:sz w:val="16"/>
      <w:szCs w:val="16"/>
    </w:rPr>
  </w:style>
  <w:style w:type="paragraph" w:styleId="1042">
    <w:name w:val="annotation text"/>
    <w:basedOn w:val="1024"/>
    <w:link w:val="1043"/>
    <w:uiPriority w:val="99"/>
    <w:rPr>
      <w:sz w:val="20"/>
      <w:szCs w:val="20"/>
    </w:rPr>
  </w:style>
  <w:style w:type="character" w:styleId="1043" w:customStyle="1">
    <w:name w:val="Текст примечания Знак"/>
    <w:basedOn w:val="1029"/>
    <w:link w:val="104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4">
    <w:name w:val="Balloon Text"/>
    <w:basedOn w:val="1024"/>
    <w:link w:val="1045"/>
    <w:uiPriority w:val="99"/>
    <w:semiHidden/>
    <w:unhideWhenUsed/>
    <w:rPr>
      <w:rFonts w:ascii="Tahoma" w:hAnsi="Tahoma" w:cs="Tahoma"/>
      <w:sz w:val="16"/>
      <w:szCs w:val="16"/>
    </w:rPr>
  </w:style>
  <w:style w:type="character" w:styleId="1045" w:customStyle="1">
    <w:name w:val="Текст выноски Знак"/>
    <w:basedOn w:val="1029"/>
    <w:link w:val="104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46">
    <w:name w:val="annotation subject"/>
    <w:basedOn w:val="1042"/>
    <w:next w:val="1042"/>
    <w:link w:val="1047"/>
    <w:uiPriority w:val="99"/>
    <w:semiHidden/>
    <w:unhideWhenUsed/>
    <w:rPr>
      <w:b/>
      <w:bCs/>
    </w:rPr>
  </w:style>
  <w:style w:type="character" w:styleId="1047" w:customStyle="1">
    <w:name w:val="Тема примечания Знак"/>
    <w:basedOn w:val="1043"/>
    <w:link w:val="1046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48">
    <w:name w:val="List Paragraph"/>
    <w:basedOn w:val="1024"/>
    <w:link w:val="1056"/>
    <w:uiPriority w:val="34"/>
    <w:qFormat/>
    <w:pPr>
      <w:contextualSpacing/>
      <w:ind w:left="720"/>
    </w:pPr>
  </w:style>
  <w:style w:type="character" w:styleId="1049">
    <w:name w:val="Hyperlink"/>
    <w:basedOn w:val="1029"/>
    <w:uiPriority w:val="99"/>
    <w:unhideWhenUsed/>
    <w:rPr>
      <w:color w:val="0000ff"/>
      <w:u w:val="single"/>
    </w:rPr>
  </w:style>
  <w:style w:type="character" w:styleId="1050" w:customStyle="1">
    <w:name w:val="Заголовок 5 Знак"/>
    <w:basedOn w:val="1029"/>
    <w:link w:val="1028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51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2">
    <w:name w:val="Footer"/>
    <w:basedOn w:val="1024"/>
    <w:link w:val="1053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53" w:customStyle="1">
    <w:name w:val="Нижний колонтитул Знак"/>
    <w:basedOn w:val="1029"/>
    <w:link w:val="1052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54">
    <w:name w:val="page number"/>
    <w:basedOn w:val="1029"/>
  </w:style>
  <w:style w:type="character" w:styleId="1055" w:customStyle="1">
    <w:name w:val="Заголовок 3 Знак"/>
    <w:basedOn w:val="1029"/>
    <w:link w:val="1027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56" w:customStyle="1">
    <w:name w:val="Абзац списка Знак"/>
    <w:basedOn w:val="1029"/>
    <w:link w:val="1048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57" w:customStyle="1">
    <w:name w:val="Заголовок 2 Знак"/>
    <w:basedOn w:val="1029"/>
    <w:link w:val="1026"/>
    <w:uiPriority w:val="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58" w:customStyle="1">
    <w:name w:val="1-з"/>
    <w:qFormat/>
    <w:pPr>
      <w:numPr>
        <w:ilvl w:val="0"/>
        <w:numId w:val="27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59" w:customStyle="1">
    <w:name w:val="2-з"/>
    <w:basedOn w:val="1024"/>
    <w:qFormat/>
    <w:pPr>
      <w:numPr>
        <w:ilvl w:val="1"/>
        <w:numId w:val="27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60" w:customStyle="1">
    <w:name w:val="3-з"/>
    <w:link w:val="1066"/>
    <w:qFormat/>
    <w:pPr>
      <w:numPr>
        <w:ilvl w:val="2"/>
        <w:numId w:val="27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61" w:customStyle="1">
    <w:name w:val="нумерация"/>
    <w:uiPriority w:val="99"/>
    <w:pPr>
      <w:numPr>
        <w:ilvl w:val="0"/>
        <w:numId w:val="26"/>
      </w:numPr>
    </w:pPr>
  </w:style>
  <w:style w:type="paragraph" w:styleId="1062" w:customStyle="1">
    <w:name w:val="4-з"/>
    <w:link w:val="1073"/>
    <w:qFormat/>
    <w:pPr>
      <w:numPr>
        <w:ilvl w:val="3"/>
        <w:numId w:val="27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63" w:customStyle="1">
    <w:name w:val="5-з"/>
    <w:basedOn w:val="1024"/>
    <w:qFormat/>
    <w:pPr>
      <w:numPr>
        <w:ilvl w:val="4"/>
        <w:numId w:val="27"/>
      </w:numPr>
      <w:jc w:val="both"/>
      <w:widowControl w:val="off"/>
    </w:pPr>
    <w:rPr>
      <w:szCs w:val="20"/>
    </w:rPr>
  </w:style>
  <w:style w:type="paragraph" w:styleId="1064" w:customStyle="1">
    <w:name w:val="6-буквы"/>
    <w:basedOn w:val="1024"/>
    <w:qFormat/>
    <w:pPr>
      <w:numPr>
        <w:ilvl w:val="5"/>
        <w:numId w:val="27"/>
      </w:numPr>
      <w:jc w:val="both"/>
      <w:widowControl w:val="off"/>
    </w:pPr>
    <w:rPr>
      <w:szCs w:val="20"/>
    </w:rPr>
  </w:style>
  <w:style w:type="paragraph" w:styleId="1065" w:customStyle="1">
    <w:name w:val="7-форма"/>
    <w:qFormat/>
    <w:pPr>
      <w:numPr>
        <w:ilvl w:val="6"/>
        <w:numId w:val="27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66" w:customStyle="1">
    <w:name w:val="3-з Знак"/>
    <w:basedOn w:val="1029"/>
    <w:link w:val="1060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67" w:customStyle="1">
    <w:name w:val="Абзац списка1"/>
    <w:basedOn w:val="1024"/>
    <w:link w:val="1068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1068" w:customStyle="1">
    <w:name w:val="List Paragraph Char"/>
    <w:link w:val="1067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1069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70">
    <w:name w:val="footnote text"/>
    <w:basedOn w:val="1024"/>
    <w:link w:val="1071"/>
    <w:uiPriority w:val="99"/>
    <w:unhideWhenUsed/>
    <w:rPr>
      <w:sz w:val="20"/>
      <w:szCs w:val="20"/>
    </w:rPr>
  </w:style>
  <w:style w:type="character" w:styleId="1071" w:customStyle="1">
    <w:name w:val="Текст сноски Знак"/>
    <w:basedOn w:val="1029"/>
    <w:link w:val="107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72">
    <w:name w:val="footnote reference"/>
    <w:basedOn w:val="1029"/>
    <w:uiPriority w:val="99"/>
    <w:unhideWhenUsed/>
    <w:rPr>
      <w:vertAlign w:val="superscript"/>
    </w:rPr>
  </w:style>
  <w:style w:type="character" w:styleId="1073" w:customStyle="1">
    <w:name w:val="4-з Знак"/>
    <w:basedOn w:val="1029"/>
    <w:link w:val="1062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nlyoffice.com/commentsDocument" Target="commentsDocument.xml" /><Relationship Id="rId13" Type="http://schemas.onlyoffice.com/commentsExtendedDocument" Target="commentsExtendedDocument.xml" /><Relationship Id="rId14" Type="http://schemas.onlyoffice.com/commentsExtensibleDocument" Target="commentsExtensibleDocument.xml" /><Relationship Id="rId15" Type="http://schemas.onlyoffice.com/commentsIdsDocument" Target="commentsIdsDocument.xml" /><Relationship Id="rId16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9697B-E7F8-4EED-9D1F-D9C34B4E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Gubina-OS</cp:lastModifiedBy>
  <cp:revision>54</cp:revision>
  <dcterms:created xsi:type="dcterms:W3CDTF">2024-01-30T04:06:00Z</dcterms:created>
  <dcterms:modified xsi:type="dcterms:W3CDTF">2026-08-05T04:07:12Z</dcterms:modified>
</cp:coreProperties>
</file>